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36" w:rsidRDefault="00883236" w:rsidP="00883236">
      <w:pPr>
        <w:jc w:val="both"/>
      </w:pPr>
    </w:p>
    <w:p w:rsidR="00883236" w:rsidRPr="00883236" w:rsidRDefault="00883236" w:rsidP="00883236">
      <w:pPr>
        <w:jc w:val="both"/>
        <w:rPr>
          <w:b/>
          <w:u w:val="single"/>
        </w:rPr>
      </w:pPr>
      <w:r>
        <w:rPr>
          <w:b/>
          <w:u w:val="single"/>
        </w:rPr>
        <w:t>Aus den Entscheidungsgründen des BFH vom 04.12.2012 – VIII R 42/09:</w:t>
      </w:r>
    </w:p>
    <w:p w:rsidR="00883236" w:rsidRDefault="00883236" w:rsidP="00883236">
      <w:pPr>
        <w:jc w:val="both"/>
      </w:pPr>
    </w:p>
    <w:p w:rsidR="00883236" w:rsidRDefault="00883236" w:rsidP="00883236">
      <w:pPr>
        <w:jc w:val="both"/>
      </w:pPr>
      <w:r>
        <w:t>3. Diese Ausführungen halten revisionsrechtlicher Nachprüfung stand.</w:t>
      </w:r>
    </w:p>
    <w:p w:rsidR="00883236" w:rsidRDefault="00883236" w:rsidP="00883236">
      <w:pPr>
        <w:jc w:val="both"/>
      </w:pPr>
      <w:r>
        <w:t xml:space="preserve">a) Gemäß § 6 Abs. 1 Nr. 4 Satz 2 EStG ist die private Nutzung eines Kfz, das zu mehr als 50 % betrieblich genutzt wird, für jeden Kalendermonat mit 1 % des inländischen Listenpreises im Zeitpunkt der Erstzulassung zuzüglich der Kosten für Sonderausstattung einschließlich Umsatzsteuer anzusetzen. Diese Bewertungsregel kommt nicht zum Tragen, wenn eine private Nutzung nicht stattgefunden hat (Senatsurteil vom 19. Mai 2009 VIII R 60/06, BFH/NV 2009, 1974, </w:t>
      </w:r>
      <w:proofErr w:type="spellStart"/>
      <w:r>
        <w:t>m.w.N</w:t>
      </w:r>
      <w:proofErr w:type="spellEnd"/>
      <w:r>
        <w:t>.). Das FG muss sich deshalb grundsätzlich die volle Überzeugung (§ 96 Abs. 1 Satz 1 FGO) davon bilden, dass eine private Nutzung tatsächlich stattgefunden hat, wenn es § 6 Ab</w:t>
      </w:r>
      <w:bookmarkStart w:id="0" w:name="_GoBack"/>
      <w:bookmarkEnd w:id="0"/>
      <w:r>
        <w:t xml:space="preserve">s. 1 Nr. 4 Satz 2 EStG anwenden will (vgl. BFH-Beschluss vom 21. Dezember 2006 VI B 20/06, BFH/NV 2007, 716). </w:t>
      </w:r>
    </w:p>
    <w:p w:rsidR="00883236" w:rsidRDefault="00883236" w:rsidP="00883236">
      <w:pPr>
        <w:jc w:val="both"/>
      </w:pPr>
      <w:r>
        <w:t xml:space="preserve">Nach allgemeiner Lebenserfahrung werden dienstliche oder betriebliche Fahrzeuge, die zu privaten Zwecken zur Verfügung stehen, auch tatsächlich privat genutzt. Dafür spricht der Beweis des ersten Anscheins (vgl. BFH-Beschluss vom 14. Mai 1999 VI B 258/98, BFH/NV 1999, 1330). Etwas anderes gilt, wenn es sich um ein Fahrzeug handelt, das typischerweise zum privaten Gebrauch nicht geeignet ist (vgl. BFH-Urteil vom 18. Dezember 2008 VI R 34/07, BFHE 224, 108, </w:t>
      </w:r>
      <w:proofErr w:type="spellStart"/>
      <w:r>
        <w:t>BStBl</w:t>
      </w:r>
      <w:proofErr w:type="spellEnd"/>
      <w:r>
        <w:t xml:space="preserve"> II 2009, 381). Soweit keine besonderen Umstände hinzutreten, kann das FG aufgrund der Anscheinsbeweisregel regelmäßig davon ausgehen, dass eine private Nutzung stattgefunden hat (Senatsurteil in BFH/NV 2009, 1974).</w:t>
      </w:r>
    </w:p>
    <w:p w:rsidR="00883236" w:rsidRDefault="00883236" w:rsidP="00883236">
      <w:pPr>
        <w:jc w:val="both"/>
      </w:pPr>
      <w:r>
        <w:t xml:space="preserve">Der Beweis des ersten Anscheins kann durch den sog. Gegenbeweis entkräftet oder erschüttert werden. Hierzu ist der Vollbeweis des Gegenteils nicht erforderlich. Die Revisionsbeklagten müssen also nicht beweisen, dass eine private Nutzung des </w:t>
      </w:r>
      <w:proofErr w:type="gramStart"/>
      <w:r>
        <w:t>Porsche</w:t>
      </w:r>
      <w:proofErr w:type="gramEnd"/>
      <w:r>
        <w:t xml:space="preserve"> 911 nicht stattgefunden hat. Erforderlich, aber auch ausreichend ist, dass ein Sachverhalt dargelegt (und im Zweifelsfall nachgewiesen) wird, der die ernsthafte Möglichkeit eines anderen als des der allgemeinen Erfahrung entsprechenden Geschehens ergibt (vgl. BFH-Urteil vom 7. November 2006 VI R 19/05, BFHE 215, 256, </w:t>
      </w:r>
      <w:proofErr w:type="spellStart"/>
      <w:r>
        <w:t>BStBl</w:t>
      </w:r>
      <w:proofErr w:type="spellEnd"/>
      <w:r>
        <w:t xml:space="preserve"> II 2007, 116, </w:t>
      </w:r>
      <w:proofErr w:type="spellStart"/>
      <w:r>
        <w:t>m.w.N</w:t>
      </w:r>
      <w:proofErr w:type="spellEnd"/>
      <w:r>
        <w:t xml:space="preserve">.). Der Anscheinsbeweis wird im Regelfall noch nicht erschüttert, wenn lediglich behauptet wird, für privat veranlasste Fahrten hätten private Fahrzeuge zur Verfügung gestanden (vgl. Senatsbeschluss vom 13. Dezember 2011 VIII B 82/11, BFH/NV 2012, 573, </w:t>
      </w:r>
      <w:proofErr w:type="spellStart"/>
      <w:r>
        <w:t>m.w.N</w:t>
      </w:r>
      <w:proofErr w:type="spellEnd"/>
      <w:r>
        <w:t>.). Auch ein eingeschränktes privates Nutzungsverbot vermag den Anscheinsbeweis regelmäßig nicht zu entkräften.</w:t>
      </w:r>
    </w:p>
    <w:p w:rsidR="00883236" w:rsidRDefault="00883236" w:rsidP="00883236">
      <w:pPr>
        <w:jc w:val="both"/>
      </w:pPr>
      <w:r>
        <w:t>Über die Frage, ob der für eine Privatnutzung sprechende Beweis des ersten Anscheins erschüttert ist, entscheidet das FG unter Berücksichtigung sämtlicher Umstände des Einzelfalls nach seiner freien, aus dem Gesamtergebnis des Verfahrens gewonnenen Überzeugung. Dabei hat es nicht nur den von den Revisionsbeklagten vorgebrachten Sachverhalt von Amts wegen aufzuklären. Unter Umständen muss das FG auch zusätzliche, für die Privatnutzung sprechende Umstände aufklären und berücksichtigen. An die Würdigung des FG ist der BFH revisionsrechtlich gebunden (§ 118 Abs. 2 FGO), soweit sie verfahrensrechtlich einwandfrei zustande gekommen und nicht durch Denkfehler oder die Verletzung von Erfahrungsgrundsätzen beeinflusst ist (vgl. Senatsurteil in BFH/NV 2009, 1974; Senatsbeschlüsse in BFH/NV 2012, 573; vom 22. Februar 2012 VIII B 66/11, BFH/NV 2012, 988; vom 18. Oktober 2007 VIII B 212/06, BFH/NV 2008, 210).</w:t>
      </w:r>
    </w:p>
    <w:p w:rsidR="00883236" w:rsidRDefault="00883236" w:rsidP="00883236">
      <w:pPr>
        <w:jc w:val="both"/>
      </w:pPr>
      <w:r>
        <w:lastRenderedPageBreak/>
        <w:t xml:space="preserve">b) Im Streitfall hat das FG seiner Entscheidung die Grundsätze der BFH-Rechtsprechung zugrunde gelegt und nach gründlicher Abwägung der Umstände des Streitfalls den Schluss gezogen, der Anscheinsbeweis für eine Privatnutzung des PKW Porsche 911 sei für den hier in Frage stehenden Zeitraum 1. Januar bis zum 21. April 1999 sowie für die Zeit vom 22. Juli bis zum 31. Dezember 1999 erschüttert. An diese Würdigung ist der Senat gebunden, denn sie ist verfahrensrechtlich einwandfrei zustande gekommen und weder durch Denkfehler noch durch die Verletzung von Erfahrungsgrundsätzen beeinflusst. </w:t>
      </w:r>
    </w:p>
    <w:p w:rsidR="00883236" w:rsidRDefault="00883236" w:rsidP="00883236">
      <w:pPr>
        <w:jc w:val="both"/>
      </w:pPr>
      <w:proofErr w:type="spellStart"/>
      <w:r>
        <w:t>aa</w:t>
      </w:r>
      <w:proofErr w:type="spellEnd"/>
      <w:r>
        <w:t xml:space="preserve">) Angesichts der Tatsache, dass hinsichtlich des Fahrzeugs Porsche 911 ein an B gerichteter Bescheid über Kraftfahrzeugsteuer vom 26. November 1999 existiert, aus dem eine Steuerfestsetzung nur für den Zeitraum 22. April bis 4. November 1999 ersichtlich ist, hat das FG zu Recht gefolgert, dass dieser PKW nur während des genannten Zeitraums auf B zugelassen war. Eine etwaige private Nutzung kam --wie vom FG zutreffend erkannt-- damit nur während dieses Zeitraums in Betracht, nicht aber während des gesamten Kalenderjahres. </w:t>
      </w:r>
    </w:p>
    <w:p w:rsidR="00883236" w:rsidRDefault="00883236" w:rsidP="00883236">
      <w:pPr>
        <w:jc w:val="both"/>
      </w:pPr>
      <w:r>
        <w:t>Was den verbleibenden Zeitraum 22. April bis 4. November 1999 betrifft, so ist davon auszugehen, dass B jedenfalls ab dem 22. Juli 1999 vergleichbare Fahrzeuge zur Verfügung standen. Das gilt zunächst für den im Privatvermögen des B befindlichen und im gesamten Streitjahr auf diesen zugelassenen Porsche 928 S4, ein Fahrzeug, welches mit einer Motorleistung von unstreitig 235 kW, einem Hubraum von 4 898 ccm und einer Höchstgeschwindigkeit von 270 km/h dem im Betriebsvermögen befindlichen Porsche 911 sowohl in Ausstattung, Fahrleistung und unter Prestigegesichtspunkten in etwa vergleichbar war. Die Folgerung des FG, bei Gleichwertigkeit beider Fahrzeuge sei keine nachvollziehbare Veranlassung ersichtlich, für Privatfahrten das dienstliche bzw. betriebliche Fahrzeug zu nutzen, ist daher revisionsrechtlich nicht zu beanstanden (vgl. zur Erschütterung des Anscheinsbeweises bei Gleichwertigkeit von Dienst- und Privatfahrzeug Senatsurteil in BFH/NV 2009, 1974).</w:t>
      </w:r>
    </w:p>
    <w:p w:rsidR="00883236" w:rsidRDefault="00883236" w:rsidP="00883236">
      <w:pPr>
        <w:jc w:val="both"/>
      </w:pPr>
      <w:proofErr w:type="spellStart"/>
      <w:r>
        <w:t>bb</w:t>
      </w:r>
      <w:proofErr w:type="spellEnd"/>
      <w:r>
        <w:t>) Gegen eine private Nutzung des Porsche 911 nach dem 21. Juli 1999 sprechen auch die familiären Verhältnisse des B und der Umstand, dass auf ihn ab Juli 1999 bis zum 31. Dezember des Jahres noch ein Kombi Volvo V70 T5 zugelassen war, ein ebenfalls relativ stark motorisiertes und gut ausgestattetes Fahrzeug. Zwar hatte theoretisch auch die Ehefrau des B die Möglichkeit, für private Fahrten den Porsche 911 neben dem auf ihren Ehemann zugelassenen Porsche 928 S4 bzw. den Volvo V70 T5 zu nutzen. Zu berücksichtigen ist indes, dass B mit seiner Ehefrau fünf minderjährige Kinder hatte, die im Streitjahr elf bis vier Jahre alt waren. Nach allgemeiner Lebenserfahrung müssen Eltern kleinerer Kinder des Öfteren Transportaufgaben oder größere Einkäufe erledigen. Es entspricht der Lebenserfahrung, dass für derartige Aufgaben eher ein Auto mit größerem Platzangebot und großem Kofferraum, wie zum Beispiel ein Kombi Volvo V70 T5, gewählt wird als ein Sportwagen.</w:t>
      </w:r>
    </w:p>
    <w:p w:rsidR="00883236" w:rsidRDefault="00883236" w:rsidP="00883236">
      <w:pPr>
        <w:jc w:val="both"/>
      </w:pPr>
      <w:r>
        <w:t>cc) Angesichts der beiden privat zur Verfügung stehenden Fahrzeuge Porsche 928 S4 und Volvo V70 T5 ist der Anscheinsbeweis für die private Nutzung des Porsche 911 erschüttert. Es wäre daher Aufgabe des FA gewesen, die private Nutzung des PKW Porsche 911 durch B im fraglichen Zeitraum zu beweisen. Diesen Beweis hat das FA nicht erbracht.</w:t>
      </w:r>
    </w:p>
    <w:p w:rsidR="00D17A18" w:rsidRDefault="00D17A18"/>
    <w:sectPr w:rsidR="00D17A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formatting="1" w:enforcement="1" w:cryptProviderType="rsaFull" w:cryptAlgorithmClass="hash" w:cryptAlgorithmType="typeAny" w:cryptAlgorithmSid="4" w:cryptSpinCount="100000" w:hash="N5ZPugFyEOHy2qHLr6yQSF1+3ok=" w:salt="FbtwWHPXy7A6EEjPQBkr3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36"/>
    <w:rsid w:val="00883236"/>
    <w:rsid w:val="00D17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5902</Characters>
  <Application>Microsoft Office Word</Application>
  <DocSecurity>8</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2013-02-07T18:25:00Z</dcterms:created>
  <dcterms:modified xsi:type="dcterms:W3CDTF">2013-02-07T18:29:00Z</dcterms:modified>
</cp:coreProperties>
</file>